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7310C5" w:rsidRPr="007310C5" w:rsidTr="00931CD5">
        <w:tblPrEx>
          <w:tblCellMar>
            <w:top w:w="0" w:type="dxa"/>
            <w:bottom w:w="0" w:type="dxa"/>
          </w:tblCellMar>
        </w:tblPrEx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7310C5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731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310C5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7310C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10C5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7310C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7310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7310C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7310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7310C5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7310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7310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7310C5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7310C5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7310C5" w:rsidRPr="007310C5" w:rsidRDefault="007310C5" w:rsidP="007310C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7310C5" w:rsidRPr="007310C5" w:rsidRDefault="007310C5" w:rsidP="007310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7310C5" w:rsidRPr="007310C5" w:rsidTr="00931CD5">
        <w:tc>
          <w:tcPr>
            <w:tcW w:w="388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7310C5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7310C5" w:rsidRPr="007310C5" w:rsidTr="00931CD5">
        <w:tc>
          <w:tcPr>
            <w:tcW w:w="388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10C5" w:rsidRPr="007310C5" w:rsidTr="00931CD5">
        <w:trPr>
          <w:trHeight w:val="123"/>
        </w:trPr>
        <w:tc>
          <w:tcPr>
            <w:tcW w:w="388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A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proofErr w:type="gramEnd"/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3A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й.</w:t>
            </w:r>
          </w:p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10C5" w:rsidRPr="007310C5" w:rsidRDefault="007310C5" w:rsidP="003A2A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28-2</w:t>
            </w:r>
            <w:r w:rsidR="003A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3708" w:type="dxa"/>
          </w:tcPr>
          <w:p w:rsidR="007310C5" w:rsidRPr="007310C5" w:rsidRDefault="007310C5" w:rsidP="007310C5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7310C5" w:rsidRPr="007310C5" w:rsidRDefault="007310C5" w:rsidP="003A2AC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3A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proofErr w:type="gramEnd"/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3A2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73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:rsidR="007310C5" w:rsidRPr="007310C5" w:rsidRDefault="007310C5" w:rsidP="007310C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от 27.12.2018 г. № 27-43-5 «Об утверждении  Порядка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310C5" w:rsidRPr="007310C5" w:rsidRDefault="007310C5" w:rsidP="007310C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9 декабря 2008 г.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7310C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Федеральным законом от 3 июля 2018 г. N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0C5" w:rsidRPr="007310C5" w:rsidRDefault="007310C5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Совета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 27.12.2018 г. № 27-43-5 «Об утверждении Порядка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E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4B" w:rsidRPr="00DE16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Порядок в следующей редакции (приложение).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https://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elanlino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/,</w:t>
      </w:r>
      <w:r w:rsidRPr="00731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 информационном стенде Совета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решение вступает в силу со дня его принятия.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решения возложить на постоянную комиссию Совета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собственности.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Г.Р.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 xml:space="preserve"> сельского поселения Е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310C5">
        <w:rPr>
          <w:rFonts w:ascii="Times New Roman" w:eastAsia="Times New Roman" w:hAnsi="Times New Roman" w:cs="Times New Roman"/>
          <w:lang w:eastAsia="ru-RU"/>
        </w:rPr>
        <w:t>ланлинский</w:t>
      </w:r>
      <w:proofErr w:type="spellEnd"/>
      <w:r w:rsidRPr="007310C5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 xml:space="preserve">МР </w:t>
      </w:r>
      <w:proofErr w:type="spellStart"/>
      <w:r w:rsidRPr="007310C5">
        <w:rPr>
          <w:rFonts w:ascii="Times New Roman" w:eastAsia="Times New Roman" w:hAnsi="Times New Roman" w:cs="Times New Roman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310C5">
        <w:rPr>
          <w:rFonts w:ascii="Times New Roman" w:eastAsia="Times New Roman" w:hAnsi="Times New Roman" w:cs="Times New Roman"/>
          <w:lang w:eastAsia="ru-RU"/>
        </w:rPr>
        <w:t>от 03 августа2021 г. № 28-20-3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AC9" w:rsidRPr="007310C5" w:rsidRDefault="003A2AC9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0C5" w:rsidRPr="007310C5" w:rsidRDefault="007310C5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3A2AC9" w:rsidRP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310C5" w:rsidRPr="007310C5" w:rsidRDefault="003A2AC9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310C5"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C5"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перечень).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перечень вносятся сведения о муниципальном имуществе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-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электронной форме на основе ежегодно представляемых </w:t>
      </w:r>
      <w:proofErr w:type="gram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октября</w:t>
      </w:r>
      <w:proofErr w:type="gram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предложений на очередной год по включению в перечень муниципального имущества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пункте 2 настоящего Порядка муниципальным имуществом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объекта муниципального имущества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правообладателей и их количество;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при его наличии.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1 месяца рассматривает представленные предложения и выносит решение по формированию перечней муниципального имущества с целью оказания имущественной поддержки субъектам малого и среднего предпринимательства.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предложений, указанных в пункте 3 решения, принимается одно из следующих решений: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постановления Администрации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подготовке проекта постановления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</w:t>
      </w:r>
      <w:proofErr w:type="gram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  сведений</w:t>
      </w:r>
      <w:proofErr w:type="gram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имуществе, в отношении которого поступило предложение, из перечня;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учете предложений. 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после </w:t>
      </w:r>
      <w:proofErr w:type="gram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 решения</w:t>
      </w:r>
      <w:proofErr w:type="gram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 Администрация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принимает решение о внесении изменений в перечень.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Администрация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исключает сведения о муниципальном имуществе из перечня в одном из следующих случаев: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отношении муниципального имущества в установленном законодательством порядке принято решение главы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решение Совета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3 рабочих дней со дня утверждения перечень подлежит обязательному официальному опубликованию в сети Интернет на официальном сайте Администрации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310C5" w:rsidRPr="007310C5" w:rsidRDefault="007310C5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</w:t>
      </w:r>
      <w:r w:rsid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3A2AC9" w:rsidRP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C9" w:rsidRP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случае, если в субаренду предоставляется имущество, предусмотренное пунктом 14 части 1 статьи 17.1 Федерального закона от 26 июля 2006 года № 135-ФЗ "О защите конкуренции".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310C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решения.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Сведения об утвержденных перечнях муниципального имущества, указанных пункте 1 настоящего решения,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24.07.2007 № 209-ФЗ "О развитии малого и среднего предпринимательства в Российской Федерации». </w:t>
      </w:r>
    </w:p>
    <w:p w:rsidR="007310C5" w:rsidRPr="007310C5" w:rsidRDefault="007310C5" w:rsidP="003A2AC9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Муниципальное имущество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закрепленное на праве хозяйственного ведения или оперативного управления за муниципальными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1, в порядке, установленном настоящим решением,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C9" w:rsidRP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 w:rsidR="003A2A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10C5" w:rsidRPr="007310C5" w:rsidRDefault="007310C5" w:rsidP="007310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указанного в пункте 2 настоящего Порядка.</w:t>
      </w:r>
    </w:p>
    <w:p w:rsidR="007310C5" w:rsidRPr="007310C5" w:rsidRDefault="007310C5" w:rsidP="007310C5">
      <w:pPr>
        <w:widowControl w:val="0"/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310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13.</w:t>
      </w:r>
      <w:r w:rsidRPr="007310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При расчете годовой арендной платы субъектам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 применяется К2 – коэффициент разрешенного использования = 0,01.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14.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с субъектами малого и среднего предпринимательства </w:t>
      </w: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 аренды в отношении муниципального имущества арендная плата вносится в следующем порядке: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 (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=0,4);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 (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=0,6);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 (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=0,8);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=1).</w:t>
      </w:r>
    </w:p>
    <w:p w:rsidR="007310C5" w:rsidRPr="007310C5" w:rsidRDefault="007310C5" w:rsidP="00731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иных случаях </w:t>
      </w:r>
      <w:proofErr w:type="spellStart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7310C5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8C3610" w:rsidRDefault="008C3610"/>
    <w:sectPr w:rsidR="008C3610" w:rsidSect="00460F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A"/>
    <w:rsid w:val="003A2AC9"/>
    <w:rsid w:val="007310C5"/>
    <w:rsid w:val="008C3610"/>
    <w:rsid w:val="00DE164B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8999-75D9-4664-8D71-4011B13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2021-10-22T10:19:00Z</cp:lastPrinted>
  <dcterms:created xsi:type="dcterms:W3CDTF">2021-10-22T09:34:00Z</dcterms:created>
  <dcterms:modified xsi:type="dcterms:W3CDTF">2021-10-22T10:20:00Z</dcterms:modified>
</cp:coreProperties>
</file>